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91.5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НОО: особенности, основные понятия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1574.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развивающего обучения: деятельностный метод Л.Г. Петерсон; концепция В.В. Давыдова; личностно-ориентированное обучение.</w:t>
            </w:r>
          </w:p>
          <w:p>
            <w:pPr>
              <w:jc w:val="both"/>
              <w:spacing w:after="0" w:line="240" w:lineRule="auto"/>
              <w:rPr>
                <w:sz w:val="24"/>
                <w:szCs w:val="24"/>
              </w:rPr>
            </w:pPr>
            <w:r>
              <w:rPr>
                <w:rFonts w:ascii="Times New Roman" w:hAnsi="Times New Roman" w:cs="Times New Roman"/>
                <w:color w:val="#000000"/>
                <w:sz w:val="24"/>
                <w:szCs w:val="24"/>
              </w:rPr>
              <w:t>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pPr>
              <w:jc w:val="both"/>
              <w:spacing w:after="0" w:line="240" w:lineRule="auto"/>
              <w:rPr>
                <w:sz w:val="24"/>
                <w:szCs w:val="24"/>
              </w:rPr>
            </w:pPr>
            <w:r>
              <w:rPr>
                <w:rFonts w:ascii="Times New Roman" w:hAnsi="Times New Roman" w:cs="Times New Roman"/>
                <w:color w:val="#000000"/>
                <w:sz w:val="24"/>
                <w:szCs w:val="24"/>
              </w:rPr>
              <w:t>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4628.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техно-логического и результативного компонентов модели формирования самооценочной дея-тельности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диагностика метапредметных и личностных образовательных результатов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обучения и развития Л.С.Выготского.</w:t>
            </w:r>
          </w:p>
          <w:p>
            <w:pPr>
              <w:jc w:val="left"/>
              <w:spacing w:after="0" w:line="240" w:lineRule="auto"/>
              <w:rPr>
                <w:sz w:val="24"/>
                <w:szCs w:val="24"/>
              </w:rPr>
            </w:pPr>
            <w:r>
              <w:rPr>
                <w:rFonts w:ascii="Times New Roman" w:hAnsi="Times New Roman" w:cs="Times New Roman"/>
                <w:color w:val="#000000"/>
                <w:sz w:val="24"/>
                <w:szCs w:val="24"/>
              </w:rPr>
              <w:t> 2. Стратегии обучения Д.Б.Эльконина, В.В. Давыдова.</w:t>
            </w:r>
          </w:p>
          <w:p>
            <w:pPr>
              <w:jc w:val="left"/>
              <w:spacing w:after="0" w:line="240" w:lineRule="auto"/>
              <w:rPr>
                <w:sz w:val="24"/>
                <w:szCs w:val="24"/>
              </w:rPr>
            </w:pPr>
            <w:r>
              <w:rPr>
                <w:rFonts w:ascii="Times New Roman" w:hAnsi="Times New Roman" w:cs="Times New Roman"/>
                <w:color w:val="#000000"/>
                <w:sz w:val="24"/>
                <w:szCs w:val="24"/>
              </w:rPr>
              <w:t> 3.Теория поэтапного формирования умственных действий П.Я. Гальперина, Н.Ф. Талызиной.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Технологии развивающего обучения: деятельностный метод Л.Г. Петерсон; концепция В.В. Давыдова; личностно-ориентированное обучение.</w:t>
            </w:r>
          </w:p>
          <w:p>
            <w:pPr>
              <w:jc w:val="left"/>
              <w:spacing w:after="0" w:line="240" w:lineRule="auto"/>
              <w:rPr>
                <w:sz w:val="24"/>
                <w:szCs w:val="24"/>
              </w:rPr>
            </w:pPr>
            <w:r>
              <w:rPr>
                <w:rFonts w:ascii="Times New Roman" w:hAnsi="Times New Roman" w:cs="Times New Roman"/>
                <w:color w:val="#000000"/>
                <w:sz w:val="24"/>
                <w:szCs w:val="24"/>
              </w:rPr>
              <w:t> 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p>
            <w:pPr>
              <w:jc w:val="left"/>
              <w:spacing w:after="0" w:line="240" w:lineRule="auto"/>
              <w:rPr>
                <w:sz w:val="24"/>
                <w:szCs w:val="24"/>
              </w:rPr>
            </w:pPr>
            <w:r>
              <w:rPr>
                <w:rFonts w:ascii="Times New Roman" w:hAnsi="Times New Roman" w:cs="Times New Roman"/>
                <w:color w:val="#000000"/>
                <w:sz w:val="24"/>
                <w:szCs w:val="24"/>
              </w:rPr>
              <w:t> 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8.084821"/>
        </w:trPr>
        <w:tc>
          <w:tcPr>
            <w:tcW w:w="9640" w:type="dxa"/>
          </w:tcPr>
          <w:p/>
        </w:tc>
      </w:tr>
      <w:tr>
        <w:trPr>
          <w:trHeight w:hRule="exact" w:val="427.91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освоения обучающимися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образовательной программы начального общего образования</w:t>
            </w:r>
          </w:p>
        </w:tc>
      </w:tr>
      <w:tr>
        <w:trPr>
          <w:trHeight w:hRule="exact" w:val="21.31501"/>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946.2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701.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89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50.5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2023-2024_ФГОС3++2023_Бак-ОФО-ПО2(НОиИЯ)(23)_plx_Формирование универсальных учебных действий и оценка достижения образовательных результатов младших школьников</dc:title>
  <dc:creator>FastReport.NET</dc:creator>
</cp:coreProperties>
</file>